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ageBreakBefore/>
        <w:widowControl w:val="0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>D O D A T O K č. 9</w:t>
      </w:r>
    </w:p>
    <w:p>
      <w:pPr>
        <w:widowControl w:val="0"/>
        <w:autoSpaceDE w:val="0"/>
        <w:jc w:val="center"/>
      </w:pPr>
      <w:r>
        <w:rPr>
          <w:b/>
          <w:bCs/>
          <w:sz w:val="28"/>
          <w:szCs w:val="28"/>
        </w:rPr>
        <w:t xml:space="preserve">k Zmluve </w:t>
      </w:r>
      <w:r>
        <w:rPr>
          <w:b/>
          <w:sz w:val="28"/>
          <w:szCs w:val="28"/>
        </w:rPr>
        <w:t>o nájme a podnájme nebytových priestorov zo dňa 02.02.2004</w:t>
      </w:r>
    </w:p>
    <w:p>
      <w:pPr>
        <w:widowControl w:val="0"/>
        <w:pBdr>
          <w:bottom w:val="double" w:sz="2" w:space="2" w:color="000000"/>
        </w:pBdr>
        <w:autoSpaceDE w:val="0"/>
        <w:jc w:val="center"/>
      </w:pPr>
      <w:r>
        <w:t xml:space="preserve">uzavretá v zmysle zákona č. 116/1990 Z. z. v znení neskorších predpisov </w:t>
      </w:r>
    </w:p>
    <w:p>
      <w:pPr>
        <w:widowControl w:val="0"/>
        <w:pBdr>
          <w:bottom w:val="double" w:sz="2" w:space="2" w:color="000000"/>
        </w:pBdr>
        <w:autoSpaceDE w:val="0"/>
        <w:jc w:val="center"/>
        <w:rPr>
          <w:rFonts w:eastAsia="Courier New" w:cs="Courier New"/>
          <w:color w:val="000000"/>
        </w:rPr>
      </w:pPr>
      <w:r>
        <w:t>(ďalej len „Dodatok“)</w:t>
      </w:r>
    </w:p>
    <w:p>
      <w:pPr>
        <w:widowControl w:val="0"/>
        <w:autoSpaceDE w:val="0"/>
        <w:rPr>
          <w:rFonts w:eastAsia="Courier New" w:cs="Courier New"/>
          <w:color w:val="000000"/>
        </w:rPr>
      </w:pPr>
    </w:p>
    <w:p>
      <w:pPr>
        <w:widowControl w:val="0"/>
        <w:autoSpaceDE w:val="0"/>
        <w:rPr>
          <w:b/>
          <w:bCs/>
          <w:szCs w:val="20"/>
        </w:rPr>
      </w:pPr>
    </w:p>
    <w:p>
      <w:pPr>
        <w:widowControl w:val="0"/>
        <w:autoSpaceDE w:val="0"/>
      </w:pPr>
    </w:p>
    <w:p>
      <w:pPr>
        <w:widowControl w:val="0"/>
        <w:autoSpaceDE w:val="0"/>
        <w:rPr>
          <w:rFonts w:eastAsia="Courier New" w:cs="Courier New"/>
          <w:color w:val="000000"/>
          <w:sz w:val="20"/>
          <w:szCs w:val="20"/>
        </w:rPr>
      </w:pPr>
      <w:r>
        <w:rPr>
          <w:rFonts w:eastAsia="Courier New" w:cs="Courier New"/>
          <w:bCs/>
          <w:color w:val="000000"/>
          <w:szCs w:val="20"/>
        </w:rPr>
        <w:t>medzi zmluvnými stranami:</w:t>
      </w:r>
    </w:p>
    <w:p>
      <w:pPr>
        <w:widowControl w:val="0"/>
        <w:autoSpaceDE w:val="0"/>
        <w:rPr>
          <w:rFonts w:eastAsia="Courier New" w:cs="Courier New"/>
          <w:color w:val="000000"/>
          <w:sz w:val="20"/>
          <w:szCs w:val="20"/>
        </w:rPr>
      </w:pPr>
    </w:p>
    <w:p>
      <w:pPr>
        <w:widowControl w:val="0"/>
        <w:autoSpaceDE w:val="0"/>
        <w:rPr>
          <w:rFonts w:eastAsia="Courier New" w:cs="Courier New"/>
          <w:color w:val="000000"/>
          <w:sz w:val="20"/>
          <w:szCs w:val="20"/>
        </w:rPr>
      </w:pPr>
    </w:p>
    <w:p>
      <w:pPr>
        <w:widowControl w:val="0"/>
        <w:autoSpaceDE w:val="0"/>
        <w:rPr>
          <w:rFonts w:eastAsia="Courier New" w:cs="Courier New"/>
          <w:color w:val="000000"/>
          <w:sz w:val="20"/>
          <w:szCs w:val="20"/>
        </w:rPr>
      </w:pPr>
    </w:p>
    <w:p>
      <w:pPr>
        <w:widowControl w:val="0"/>
        <w:autoSpaceDE w:val="0"/>
        <w:rPr>
          <w:rFonts w:eastAsia="Courier New" w:cs="Courier New"/>
          <w:color w:val="000000"/>
        </w:rPr>
      </w:pPr>
      <w:r>
        <w:rPr>
          <w:b/>
          <w:bCs/>
          <w:sz w:val="28"/>
          <w:szCs w:val="28"/>
        </w:rPr>
        <w:t>Prenajímateľ:</w:t>
      </w:r>
      <w:r>
        <w:rPr>
          <w:b/>
          <w:bCs/>
          <w:sz w:val="28"/>
          <w:szCs w:val="28"/>
        </w:rPr>
        <w:tab/>
        <w:t>Správa rekreačných a športových zariadení Humenné</w:t>
      </w:r>
    </w:p>
    <w:p>
      <w:pPr>
        <w:widowControl w:val="0"/>
        <w:autoSpaceDE w:val="0"/>
        <w:rPr>
          <w:rFonts w:eastAsia="Courier New" w:cs="Courier New"/>
          <w:color w:val="000000"/>
        </w:rPr>
      </w:pPr>
    </w:p>
    <w:p>
      <w:pPr>
        <w:widowControl w:val="0"/>
        <w:autoSpaceDE w:val="0"/>
        <w:ind w:left="1416" w:firstLine="708"/>
        <w:rPr>
          <w:szCs w:val="20"/>
        </w:rPr>
      </w:pPr>
      <w:r>
        <w:rPr>
          <w:szCs w:val="20"/>
        </w:rPr>
        <w:t xml:space="preserve">sídlo: </w:t>
      </w:r>
      <w:proofErr w:type="spellStart"/>
      <w:r>
        <w:rPr>
          <w:szCs w:val="20"/>
        </w:rPr>
        <w:t>Chemlonská</w:t>
      </w:r>
      <w:proofErr w:type="spellEnd"/>
      <w:r>
        <w:rPr>
          <w:szCs w:val="20"/>
        </w:rPr>
        <w:t xml:space="preserve"> 5907/7, 066 01  Humenné</w:t>
      </w:r>
    </w:p>
    <w:p>
      <w:pPr>
        <w:widowControl w:val="0"/>
        <w:tabs>
          <w:tab w:val="left" w:pos="3967"/>
        </w:tabs>
        <w:autoSpaceDE w:val="0"/>
        <w:ind w:left="2124"/>
        <w:rPr>
          <w:szCs w:val="20"/>
        </w:rPr>
      </w:pPr>
      <w:r>
        <w:rPr>
          <w:szCs w:val="20"/>
        </w:rPr>
        <w:t xml:space="preserve">v zastúpení: Mgr. Peter </w:t>
      </w:r>
      <w:proofErr w:type="spellStart"/>
      <w:r>
        <w:rPr>
          <w:szCs w:val="20"/>
        </w:rPr>
        <w:t>Ždiňak</w:t>
      </w:r>
      <w:proofErr w:type="spellEnd"/>
      <w:r>
        <w:rPr>
          <w:szCs w:val="20"/>
        </w:rPr>
        <w:t>, poverený zastupovaním riaditeľa</w:t>
      </w:r>
    </w:p>
    <w:p>
      <w:pPr>
        <w:widowControl w:val="0"/>
        <w:autoSpaceDE w:val="0"/>
        <w:ind w:left="708" w:firstLine="708"/>
        <w:rPr>
          <w:szCs w:val="20"/>
        </w:rPr>
      </w:pPr>
      <w:r>
        <w:rPr>
          <w:szCs w:val="20"/>
        </w:rPr>
        <w:tab/>
        <w:t>IČO: 00520560</w:t>
      </w:r>
    </w:p>
    <w:p>
      <w:pPr>
        <w:widowControl w:val="0"/>
        <w:autoSpaceDE w:val="0"/>
        <w:ind w:left="708" w:firstLine="708"/>
        <w:rPr>
          <w:szCs w:val="20"/>
        </w:rPr>
      </w:pPr>
      <w:r>
        <w:rPr>
          <w:szCs w:val="20"/>
        </w:rPr>
        <w:tab/>
        <w:t>DIČ: 2021165751</w:t>
      </w:r>
    </w:p>
    <w:p>
      <w:pPr>
        <w:widowControl w:val="0"/>
        <w:tabs>
          <w:tab w:val="left" w:pos="2145"/>
        </w:tabs>
        <w:autoSpaceDE w:val="0"/>
        <w:ind w:left="708" w:firstLine="708"/>
        <w:rPr>
          <w:szCs w:val="20"/>
        </w:rPr>
      </w:pPr>
      <w:r>
        <w:rPr>
          <w:szCs w:val="20"/>
        </w:rPr>
        <w:tab/>
        <w:t xml:space="preserve">Bankové spojenie: </w:t>
      </w:r>
      <w:proofErr w:type="spellStart"/>
      <w:r>
        <w:rPr>
          <w:szCs w:val="20"/>
        </w:rPr>
        <w:t>Prima</w:t>
      </w:r>
      <w:proofErr w:type="spellEnd"/>
      <w:r>
        <w:rPr>
          <w:szCs w:val="20"/>
        </w:rPr>
        <w:t xml:space="preserve"> banka, a. s., pobočka Humenné</w:t>
      </w:r>
      <w:r>
        <w:rPr>
          <w:szCs w:val="20"/>
        </w:rPr>
        <w:br/>
      </w:r>
      <w:r>
        <w:rPr>
          <w:szCs w:val="20"/>
        </w:rPr>
        <w:tab/>
        <w:t xml:space="preserve">Č. účtu: 8907524001/5600      </w:t>
      </w:r>
    </w:p>
    <w:p>
      <w:pPr>
        <w:widowControl w:val="0"/>
        <w:tabs>
          <w:tab w:val="left" w:pos="2145"/>
        </w:tabs>
        <w:autoSpaceDE w:val="0"/>
      </w:pPr>
      <w:r>
        <w:rPr>
          <w:szCs w:val="20"/>
        </w:rPr>
        <w:tab/>
        <w:t>(ďalej len „prenajímateľ“)</w:t>
      </w:r>
      <w:r>
        <w:rPr>
          <w:szCs w:val="20"/>
        </w:rPr>
        <w:br/>
      </w:r>
    </w:p>
    <w:p>
      <w:pPr>
        <w:pStyle w:val="Zkladntext31"/>
        <w:rPr>
          <w:rFonts w:eastAsia="Courier New" w:cs="Courier New"/>
          <w:color w:val="000000"/>
          <w:szCs w:val="20"/>
        </w:rPr>
      </w:pPr>
      <w:r>
        <w:rPr>
          <w:b w:val="0"/>
        </w:rPr>
        <w:t>a</w:t>
      </w:r>
    </w:p>
    <w:p>
      <w:pPr>
        <w:widowControl w:val="0"/>
        <w:autoSpaceDE w:val="0"/>
        <w:rPr>
          <w:rFonts w:eastAsia="Courier New" w:cs="Courier New"/>
          <w:b/>
          <w:color w:val="000000"/>
          <w:szCs w:val="20"/>
        </w:rPr>
      </w:pPr>
    </w:p>
    <w:p>
      <w:pPr>
        <w:pStyle w:val="Nadpis3"/>
        <w:widowControl w:val="0"/>
        <w:numPr>
          <w:ilvl w:val="2"/>
          <w:numId w:val="1"/>
        </w:numPr>
        <w:tabs>
          <w:tab w:val="left" w:pos="2130"/>
        </w:tabs>
        <w:autoSpaceDE w:val="0"/>
        <w:ind w:left="0" w:firstLine="0"/>
        <w:rPr>
          <w:rFonts w:eastAsia="Courier New" w:cs="Courier New"/>
          <w:b/>
          <w:bCs/>
          <w:color w:val="000000"/>
          <w:szCs w:val="20"/>
        </w:rPr>
      </w:pPr>
      <w:r>
        <w:rPr>
          <w:b/>
          <w:szCs w:val="20"/>
        </w:rPr>
        <w:t>Nájomca:</w:t>
      </w:r>
      <w:r>
        <w:rPr>
          <w:b/>
          <w:szCs w:val="20"/>
        </w:rPr>
        <w:tab/>
      </w:r>
      <w:r>
        <w:rPr>
          <w:rFonts w:eastAsia="Courier New" w:cs="Courier New"/>
          <w:b/>
          <w:bCs/>
          <w:color w:val="000000"/>
          <w:szCs w:val="20"/>
        </w:rPr>
        <w:t xml:space="preserve">Anton </w:t>
      </w:r>
      <w:proofErr w:type="spellStart"/>
      <w:r>
        <w:rPr>
          <w:rFonts w:eastAsia="Courier New" w:cs="Courier New"/>
          <w:b/>
          <w:bCs/>
          <w:color w:val="000000"/>
          <w:szCs w:val="20"/>
        </w:rPr>
        <w:t>Marinčák</w:t>
      </w:r>
      <w:proofErr w:type="spellEnd"/>
    </w:p>
    <w:p>
      <w:pPr>
        <w:widowControl w:val="0"/>
        <w:tabs>
          <w:tab w:val="left" w:pos="2130"/>
        </w:tabs>
        <w:autoSpaceDE w:val="0"/>
        <w:rPr>
          <w:rFonts w:eastAsia="Courier New" w:cs="Courier New"/>
          <w:color w:val="000000"/>
          <w:szCs w:val="20"/>
        </w:rPr>
      </w:pPr>
      <w:r>
        <w:rPr>
          <w:rFonts w:eastAsia="Courier New" w:cs="Courier New"/>
          <w:b/>
          <w:bCs/>
          <w:color w:val="000000"/>
          <w:szCs w:val="20"/>
        </w:rPr>
        <w:tab/>
        <w:t>s</w:t>
      </w:r>
      <w:r>
        <w:rPr>
          <w:rFonts w:eastAsia="Courier New" w:cs="Courier New"/>
          <w:color w:val="000000"/>
          <w:szCs w:val="20"/>
        </w:rPr>
        <w:t>ídlo: Námestie slobody 20/49, 066 01  Humenné</w:t>
      </w:r>
    </w:p>
    <w:p>
      <w:pPr>
        <w:widowControl w:val="0"/>
        <w:tabs>
          <w:tab w:val="left" w:pos="2130"/>
        </w:tabs>
        <w:autoSpaceDE w:val="0"/>
        <w:rPr>
          <w:rFonts w:eastAsia="Courier New" w:cs="Courier New"/>
          <w:b/>
          <w:bCs/>
          <w:color w:val="000000"/>
          <w:szCs w:val="20"/>
        </w:rPr>
      </w:pPr>
      <w:r>
        <w:rPr>
          <w:rFonts w:eastAsia="Courier New" w:cs="Courier New"/>
          <w:color w:val="000000"/>
          <w:szCs w:val="20"/>
        </w:rPr>
        <w:tab/>
        <w:t xml:space="preserve">IČO: 37370561 </w:t>
      </w:r>
    </w:p>
    <w:p>
      <w:pPr>
        <w:widowControl w:val="0"/>
        <w:tabs>
          <w:tab w:val="left" w:pos="2130"/>
        </w:tabs>
        <w:autoSpaceDE w:val="0"/>
      </w:pPr>
      <w:r>
        <w:rPr>
          <w:rFonts w:eastAsia="Courier New" w:cs="Courier New"/>
          <w:b/>
          <w:bCs/>
          <w:color w:val="000000"/>
          <w:szCs w:val="20"/>
        </w:rPr>
        <w:tab/>
      </w:r>
      <w:r>
        <w:t>(ďalej len „nájomca“)</w:t>
      </w:r>
    </w:p>
    <w:p>
      <w:pPr>
        <w:pStyle w:val="Zkladntext21"/>
        <w:tabs>
          <w:tab w:val="left" w:pos="2270"/>
        </w:tabs>
      </w:pPr>
    </w:p>
    <w:p>
      <w:pPr>
        <w:jc w:val="both"/>
      </w:pPr>
      <w:r>
        <w:t>Na základe dohody sa Zmluva o nájme a podnájme nebytových priestorov z  02.02.2004 mení a dopĺňa takto:</w:t>
      </w:r>
    </w:p>
    <w:p>
      <w:pPr>
        <w:jc w:val="both"/>
      </w:pPr>
    </w:p>
    <w:p>
      <w:pPr>
        <w:jc w:val="both"/>
      </w:pPr>
    </w:p>
    <w:p>
      <w:pPr>
        <w:jc w:val="center"/>
        <w:rPr>
          <w:b/>
          <w:bCs/>
        </w:rPr>
      </w:pPr>
    </w:p>
    <w:p>
      <w:pPr>
        <w:ind w:left="3540" w:firstLine="708"/>
        <w:rPr>
          <w:b/>
        </w:rPr>
      </w:pPr>
      <w:r>
        <w:rPr>
          <w:b/>
        </w:rPr>
        <w:t>Čl. II.</w:t>
      </w:r>
    </w:p>
    <w:p>
      <w:pPr>
        <w:jc w:val="center"/>
      </w:pPr>
      <w:r>
        <w:t>Výška a splatnosť nájomného a spôsob jeho platenia</w:t>
      </w:r>
    </w:p>
    <w:p>
      <w:pPr>
        <w:jc w:val="center"/>
        <w:rPr>
          <w:b/>
        </w:rPr>
      </w:pPr>
    </w:p>
    <w:p>
      <w:pPr>
        <w:rPr>
          <w:b/>
        </w:rPr>
      </w:pPr>
    </w:p>
    <w:p>
      <w:pPr>
        <w:numPr>
          <w:ilvl w:val="0"/>
          <w:numId w:val="5"/>
        </w:numPr>
        <w:ind w:left="567" w:hanging="567"/>
        <w:jc w:val="both"/>
        <w:rPr>
          <w:bCs/>
        </w:rPr>
      </w:pPr>
      <w:r>
        <w:rPr>
          <w:bCs/>
        </w:rPr>
        <w:t>Výška úhrady nájomného bola stanovená za jeden meter štvorcový ročne,</w:t>
      </w:r>
    </w:p>
    <w:p>
      <w:pPr>
        <w:ind w:left="567"/>
        <w:jc w:val="both"/>
        <w:rPr>
          <w:bCs/>
        </w:rPr>
      </w:pPr>
      <w:r>
        <w:rPr>
          <w:bCs/>
        </w:rPr>
        <w:t xml:space="preserve">navýši sa o infláciu 3,2 % na sumu 14,57 € / m2/rok </w:t>
      </w:r>
    </w:p>
    <w:p>
      <w:pPr>
        <w:numPr>
          <w:ilvl w:val="0"/>
          <w:numId w:val="6"/>
        </w:numPr>
        <w:ind w:left="992" w:hanging="425"/>
        <w:jc w:val="both"/>
        <w:rPr>
          <w:bCs/>
          <w:u w:val="single"/>
        </w:rPr>
      </w:pPr>
      <w:r>
        <w:rPr>
          <w:bCs/>
          <w:u w:val="single"/>
        </w:rPr>
        <w:t>Ročná úhrada za prenájom priestorov</w:t>
      </w:r>
    </w:p>
    <w:p>
      <w:pPr>
        <w:numPr>
          <w:ilvl w:val="0"/>
          <w:numId w:val="7"/>
        </w:numPr>
        <w:ind w:firstLine="66"/>
        <w:jc w:val="both"/>
        <w:rPr>
          <w:bCs/>
        </w:rPr>
      </w:pPr>
      <w:r>
        <w:rPr>
          <w:bCs/>
        </w:rPr>
        <w:t>36,80 m</w:t>
      </w:r>
      <w:r>
        <w:rPr>
          <w:bCs/>
          <w:vertAlign w:val="superscript"/>
        </w:rPr>
        <w:t xml:space="preserve">2 </w:t>
      </w:r>
      <w:r>
        <w:rPr>
          <w:bCs/>
        </w:rPr>
        <w:t>x 14,57 €/1 m</w:t>
      </w:r>
      <w:r>
        <w:rPr>
          <w:bCs/>
          <w:vertAlign w:val="superscript"/>
        </w:rPr>
        <w:t xml:space="preserve">2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</w:t>
      </w:r>
      <w:r>
        <w:rPr>
          <w:b/>
          <w:bCs/>
        </w:rPr>
        <w:t>536,18€</w:t>
      </w:r>
      <w:r>
        <w:rPr>
          <w:bCs/>
        </w:rPr>
        <w:tab/>
        <w:t>mesačná úhrada za prenájom priestorov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</w:t>
      </w:r>
      <w:r>
        <w:rPr>
          <w:b/>
          <w:bCs/>
        </w:rPr>
        <w:t>44,68€</w:t>
      </w:r>
    </w:p>
    <w:p>
      <w:pPr>
        <w:rPr>
          <w:bCs/>
        </w:rPr>
      </w:pPr>
    </w:p>
    <w:p>
      <w:pPr>
        <w:ind w:firstLine="567"/>
        <w:rPr>
          <w:bCs/>
        </w:rPr>
      </w:pPr>
    </w:p>
    <w:p>
      <w:pPr>
        <w:ind w:firstLine="567"/>
        <w:rPr>
          <w:b/>
          <w:bCs/>
        </w:rPr>
      </w:pPr>
      <w:r>
        <w:rPr>
          <w:b/>
          <w:bCs/>
        </w:rPr>
        <w:t>Ostatné časti  Zmluvy o nájme a podnájme nebytových priestorov z 02.02.2004 a dodatkov k nej, týmto dodatkom č.9 ostávajú nezmenené.</w:t>
      </w:r>
    </w:p>
    <w:p>
      <w:pPr>
        <w:ind w:firstLine="567"/>
        <w:rPr>
          <w:bCs/>
        </w:rPr>
      </w:pPr>
    </w:p>
    <w:p>
      <w:pPr>
        <w:ind w:firstLine="567"/>
        <w:rPr>
          <w:b/>
          <w:bCs/>
        </w:rPr>
      </w:pPr>
      <w:r>
        <w:rPr>
          <w:bCs/>
        </w:rPr>
        <w:t xml:space="preserve">Dodatok č. 9  je vyhotovený v dvoch vyhotoveniach, z ktorých každá zo zmluvných strán </w:t>
      </w:r>
      <w:proofErr w:type="spellStart"/>
      <w:r>
        <w:rPr>
          <w:bCs/>
        </w:rPr>
        <w:t>obdrží</w:t>
      </w:r>
      <w:proofErr w:type="spellEnd"/>
      <w:r>
        <w:rPr>
          <w:bCs/>
        </w:rPr>
        <w:t xml:space="preserve"> po jednom vyhotovení.</w:t>
      </w:r>
    </w:p>
    <w:p>
      <w:pPr>
        <w:spacing w:before="120"/>
        <w:ind w:firstLine="567"/>
        <w:jc w:val="both"/>
        <w:rPr>
          <w:bCs/>
        </w:rPr>
      </w:pPr>
      <w:r>
        <w:rPr>
          <w:bCs/>
        </w:rPr>
        <w:lastRenderedPageBreak/>
        <w:t xml:space="preserve">Tento dodatok č.9 k Zmluve o nájme a podnájme nebytových priestorov z 02.02.2004 a dodatkov k nej, je platný od </w:t>
      </w:r>
      <w:r>
        <w:rPr>
          <w:b/>
          <w:bCs/>
        </w:rPr>
        <w:t>01.01.2022</w:t>
      </w:r>
      <w:r>
        <w:rPr>
          <w:bCs/>
        </w:rPr>
        <w:t xml:space="preserve"> a účinný dňom nasledujúcim po dni jeho zverejnenia na webovej stráne Správy rekreačných a športových zariadení Humenné.</w:t>
      </w:r>
    </w:p>
    <w:p>
      <w:pPr>
        <w:jc w:val="both"/>
      </w:pPr>
    </w:p>
    <w:p>
      <w:pPr>
        <w:ind w:left="15"/>
        <w:jc w:val="both"/>
        <w:rPr>
          <w:b/>
        </w:rPr>
      </w:pPr>
    </w:p>
    <w:tbl>
      <w:tblPr>
        <w:tblW w:w="9494" w:type="dxa"/>
        <w:tblInd w:w="15" w:type="dxa"/>
        <w:tblLook w:val="04A0"/>
      </w:tblPr>
      <w:tblGrid>
        <w:gridCol w:w="4204"/>
        <w:gridCol w:w="5290"/>
      </w:tblGrid>
      <w:tr>
        <w:tc>
          <w:tcPr>
            <w:tcW w:w="4204" w:type="dxa"/>
            <w:shd w:val="clear" w:color="auto" w:fill="auto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>V Humennom dňa 17.01.202</w:t>
            </w:r>
            <w:bookmarkStart w:id="0" w:name="_GoBack"/>
            <w:bookmarkEnd w:id="0"/>
            <w:r>
              <w:rPr>
                <w:bCs/>
              </w:rPr>
              <w:t>2</w:t>
            </w:r>
          </w:p>
        </w:tc>
        <w:tc>
          <w:tcPr>
            <w:tcW w:w="5290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</w:tc>
      </w:tr>
      <w:tr>
        <w:tc>
          <w:tcPr>
            <w:tcW w:w="4204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</w:tc>
        <w:tc>
          <w:tcPr>
            <w:tcW w:w="5290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</w:tc>
      </w:tr>
      <w:tr>
        <w:tc>
          <w:tcPr>
            <w:tcW w:w="4204" w:type="dxa"/>
            <w:shd w:val="clear" w:color="auto" w:fill="auto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>Nájomca:</w:t>
            </w:r>
          </w:p>
        </w:tc>
        <w:tc>
          <w:tcPr>
            <w:tcW w:w="5290" w:type="dxa"/>
            <w:shd w:val="clear" w:color="auto" w:fill="auto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>Prenajímateľ:</w:t>
            </w:r>
          </w:p>
        </w:tc>
      </w:tr>
      <w:tr>
        <w:tc>
          <w:tcPr>
            <w:tcW w:w="4204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</w:tc>
        <w:tc>
          <w:tcPr>
            <w:tcW w:w="5290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</w:tc>
      </w:tr>
      <w:tr>
        <w:tc>
          <w:tcPr>
            <w:tcW w:w="4204" w:type="dxa"/>
            <w:shd w:val="clear" w:color="auto" w:fill="auto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Anton </w:t>
            </w:r>
            <w:proofErr w:type="spellStart"/>
            <w:r>
              <w:rPr>
                <w:b/>
                <w:bCs/>
              </w:rPr>
              <w:t>Marinčák</w:t>
            </w:r>
            <w:proofErr w:type="spellEnd"/>
          </w:p>
        </w:tc>
        <w:tc>
          <w:tcPr>
            <w:tcW w:w="5290" w:type="dxa"/>
            <w:shd w:val="clear" w:color="auto" w:fill="auto"/>
            <w:tcMar>
              <w:left w:w="0" w:type="dxa"/>
              <w:right w:w="0" w:type="dxa"/>
            </w:tcMar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Správa rekreačných a športových zariadení Humenné</w:t>
            </w: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Mgr. Peter </w:t>
            </w:r>
            <w:proofErr w:type="spellStart"/>
            <w:r>
              <w:rPr>
                <w:bCs/>
              </w:rPr>
              <w:t>Ždiňak</w:t>
            </w:r>
            <w:proofErr w:type="spellEnd"/>
          </w:p>
        </w:tc>
      </w:tr>
    </w:tbl>
    <w:p>
      <w:pPr>
        <w:ind w:left="15"/>
        <w:jc w:val="both"/>
        <w:rPr>
          <w:bCs/>
        </w:rPr>
      </w:pPr>
      <w:r>
        <w:rPr>
          <w:bCs/>
        </w:rPr>
        <w:tab/>
      </w:r>
    </w:p>
    <w:p>
      <w:pPr>
        <w:ind w:left="15"/>
        <w:jc w:val="both"/>
        <w:rPr>
          <w:bCs/>
        </w:rPr>
      </w:pPr>
    </w:p>
    <w:p>
      <w:pPr>
        <w:pStyle w:val="Zkladntext21"/>
        <w:tabs>
          <w:tab w:val="left" w:pos="2270"/>
        </w:tabs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Courier New" w:hint="default"/>
        <w:sz w:val="24"/>
        <w:szCs w:val="24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Courier New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"/>
      <w:lvlJc w:val="left"/>
      <w:pPr>
        <w:tabs>
          <w:tab w:val="num" w:pos="1083"/>
        </w:tabs>
        <w:ind w:left="1083" w:hanging="363"/>
      </w:pPr>
      <w:rPr>
        <w:rFonts w:ascii="Wingdings" w:hAnsi="Wingdings" w:cs="Symbol" w:hint="default"/>
        <w:sz w:val="24"/>
        <w:szCs w:val="24"/>
      </w:rPr>
    </w:lvl>
  </w:abstractNum>
  <w:abstractNum w:abstractNumId="3">
    <w:nsid w:val="00000004"/>
    <w:multiLevelType w:val="singleLevel"/>
    <w:tmpl w:val="00000004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</w:abstractNum>
  <w:abstractNum w:abstractNumId="4">
    <w:nsid w:val="1F594601"/>
    <w:multiLevelType w:val="hybridMultilevel"/>
    <w:tmpl w:val="2D54620A"/>
    <w:lvl w:ilvl="0" w:tplc="822EA6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7D13E8"/>
    <w:multiLevelType w:val="hybridMultilevel"/>
    <w:tmpl w:val="688ACF5C"/>
    <w:lvl w:ilvl="0" w:tplc="041B0017">
      <w:start w:val="1"/>
      <w:numFmt w:val="lowerLetter"/>
      <w:lvlText w:val="%1)"/>
      <w:lvlJc w:val="left"/>
      <w:pPr>
        <w:ind w:left="735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71452CDA"/>
    <w:multiLevelType w:val="hybridMultilevel"/>
    <w:tmpl w:val="EA0C8AB8"/>
    <w:lvl w:ilvl="0" w:tplc="293E77B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</w:num>
  <w:num w:numId="3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720"/>
      </w:tabs>
      <w:ind w:left="720" w:hanging="360"/>
      <w:outlineLvl w:val="0"/>
    </w:pPr>
    <w:rPr>
      <w:b/>
      <w:bCs/>
    </w:rPr>
  </w:style>
  <w:style w:type="paragraph" w:styleId="Nadpis3">
    <w:name w:val="heading 3"/>
    <w:basedOn w:val="Normlny"/>
    <w:next w:val="Normlny"/>
    <w:link w:val="Nadpis3Char"/>
    <w:semiHidden/>
    <w:unhideWhenUsed/>
    <w:qFormat/>
    <w:pPr>
      <w:keepNext/>
      <w:tabs>
        <w:tab w:val="num" w:pos="720"/>
      </w:tabs>
      <w:ind w:left="4248" w:firstLine="708"/>
      <w:outlineLvl w:val="2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dpis3Char">
    <w:name w:val="Nadpis 3 Char"/>
    <w:basedOn w:val="Predvolenpsmoodseku"/>
    <w:link w:val="Nadpis3"/>
    <w:semiHidden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Zkladntext">
    <w:name w:val="Body Text"/>
    <w:basedOn w:val="Normlny"/>
    <w:link w:val="ZkladntextChar"/>
    <w:semiHidden/>
    <w:unhideWhenUsed/>
    <w:rPr>
      <w:b/>
      <w:bCs/>
    </w:rPr>
  </w:style>
  <w:style w:type="character" w:customStyle="1" w:styleId="ZkladntextChar">
    <w:name w:val="Základný text Char"/>
    <w:basedOn w:val="Predvolenpsmoodseku"/>
    <w:link w:val="Zkladntext"/>
    <w:semiHidden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Zkladntext21">
    <w:name w:val="Základný text 21"/>
    <w:basedOn w:val="Normlny"/>
    <w:pPr>
      <w:jc w:val="both"/>
    </w:pPr>
  </w:style>
  <w:style w:type="paragraph" w:customStyle="1" w:styleId="Zkladntext31">
    <w:name w:val="Základný text 31"/>
    <w:basedOn w:val="Normlny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720"/>
      </w:tabs>
      <w:ind w:left="720" w:hanging="360"/>
      <w:outlineLvl w:val="0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semiHidden/>
    <w:unhideWhenUsed/>
    <w:qFormat/>
    <w:pPr>
      <w:keepNext/>
      <w:tabs>
        <w:tab w:val="num" w:pos="720"/>
      </w:tabs>
      <w:ind w:left="4248" w:firstLine="708"/>
      <w:outlineLvl w:val="2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Nadpis3Char">
    <w:name w:val="Nadpis 3 Char"/>
    <w:basedOn w:val="Predvolenpsmoodseku"/>
    <w:link w:val="Nadpis3"/>
    <w:semiHidden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Zkladntext">
    <w:name w:val="Body Text"/>
    <w:basedOn w:val="Normlny"/>
    <w:link w:val="ZkladntextChar"/>
    <w:semiHidden/>
    <w:unhideWhenUsed/>
    <w:rPr>
      <w:b/>
      <w:bCs/>
      <w:lang w:val="x-none"/>
    </w:rPr>
  </w:style>
  <w:style w:type="character" w:customStyle="1" w:styleId="ZkladntextChar">
    <w:name w:val="Základný text Char"/>
    <w:basedOn w:val="Predvolenpsmoodseku"/>
    <w:link w:val="Zkladntext"/>
    <w:semiHidden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customStyle="1" w:styleId="Zkladntext21">
    <w:name w:val="Základný text 21"/>
    <w:basedOn w:val="Normlny"/>
    <w:pPr>
      <w:jc w:val="both"/>
    </w:pPr>
    <w:rPr>
      <w:lang w:val="x-none"/>
    </w:rPr>
  </w:style>
  <w:style w:type="paragraph" w:customStyle="1" w:styleId="Zkladntext31">
    <w:name w:val="Základný text 31"/>
    <w:basedOn w:val="Normlny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8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Uzivatel</cp:lastModifiedBy>
  <cp:revision>11</cp:revision>
  <cp:lastPrinted>2022-01-17T21:29:00Z</cp:lastPrinted>
  <dcterms:created xsi:type="dcterms:W3CDTF">2018-01-25T08:03:00Z</dcterms:created>
  <dcterms:modified xsi:type="dcterms:W3CDTF">2022-01-17T21:29:00Z</dcterms:modified>
</cp:coreProperties>
</file>